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BE4" w:rsidRPr="00397BE4" w:rsidRDefault="00397BE4" w:rsidP="00397BE4">
      <w:pPr>
        <w:pStyle w:val="a3"/>
        <w:jc w:val="right"/>
        <w:rPr>
          <w:rFonts w:ascii="Times New Roman" w:hAnsi="Times New Roman"/>
        </w:rPr>
      </w:pPr>
      <w:bookmarkStart w:id="0" w:name="_GoBack"/>
      <w:bookmarkEnd w:id="0"/>
      <w:r w:rsidRPr="00397BE4">
        <w:rPr>
          <w:rFonts w:ascii="Times New Roman" w:hAnsi="Times New Roman"/>
        </w:rPr>
        <w:t>Приложение 5</w:t>
      </w:r>
    </w:p>
    <w:p w:rsidR="00397BE4" w:rsidRPr="00397BE4" w:rsidRDefault="00397BE4" w:rsidP="00397BE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sidRPr="00397BE4">
        <w:rPr>
          <w:rStyle w:val="fill"/>
          <w:rFonts w:ascii="Times New Roman" w:hAnsi="Times New Roman" w:cs="Times New Roman"/>
          <w:b w:val="0"/>
          <w:i w:val="0"/>
          <w:color w:val="auto"/>
          <w:sz w:val="24"/>
          <w:szCs w:val="24"/>
        </w:rPr>
        <w:t>к Учетной политике,</w:t>
      </w:r>
      <w:r w:rsidRPr="00397BE4">
        <w:rPr>
          <w:rFonts w:ascii="Times New Roman" w:hAnsi="Times New Roman" w:cs="Times New Roman"/>
          <w:sz w:val="24"/>
          <w:szCs w:val="24"/>
        </w:rPr>
        <w:br/>
        <w:t xml:space="preserve"> распоряжение от 28</w:t>
      </w:r>
      <w:r w:rsidRPr="00397BE4">
        <w:rPr>
          <w:rStyle w:val="fill"/>
          <w:rFonts w:ascii="Times New Roman" w:hAnsi="Times New Roman" w:cs="Times New Roman"/>
          <w:b w:val="0"/>
          <w:i w:val="0"/>
          <w:color w:val="auto"/>
          <w:sz w:val="24"/>
          <w:szCs w:val="24"/>
        </w:rPr>
        <w:t>.12.2019</w:t>
      </w:r>
      <w:r w:rsidRPr="00397BE4">
        <w:rPr>
          <w:rFonts w:ascii="Times New Roman" w:hAnsi="Times New Roman" w:cs="Times New Roman"/>
          <w:sz w:val="24"/>
          <w:szCs w:val="24"/>
        </w:rPr>
        <w:t xml:space="preserve"> №52-р </w:t>
      </w:r>
    </w:p>
    <w:p w:rsidR="00F10C24" w:rsidRPr="00397BE4" w:rsidRDefault="00F10C24" w:rsidP="00F10C24"/>
    <w:p w:rsidR="00F10C24" w:rsidRPr="009E2A52" w:rsidRDefault="00F10C24" w:rsidP="00B8487A">
      <w:pPr>
        <w:jc w:val="center"/>
        <w:rPr>
          <w:rFonts w:ascii="Times New Roman" w:hAnsi="Times New Roman" w:cs="Times New Roman"/>
          <w:b/>
          <w:sz w:val="24"/>
          <w:szCs w:val="24"/>
        </w:rPr>
      </w:pPr>
      <w:r w:rsidRPr="009E2A52">
        <w:rPr>
          <w:rFonts w:ascii="Times New Roman" w:hAnsi="Times New Roman" w:cs="Times New Roman"/>
          <w:b/>
          <w:sz w:val="24"/>
          <w:szCs w:val="24"/>
        </w:rPr>
        <w:t>Положение  о выдаче под отчет денежных средств,  о составлении и представлении отчетов подотчетными лицами</w:t>
      </w:r>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 1. Общие положения</w:t>
      </w:r>
    </w:p>
    <w:p w:rsidR="00B8487A"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1. Настоящее положение о выдаче под отчет денежных средств, о составлении и представлении отчетов подотчетными лицами (далее – Положение) устанавливает в учреждении единый порядок расчетов с подотчетными лицами учреждения и выдачи под отчет денежных средств, составления, представления, проверки и утверждения отчетов об их использовании. </w:t>
      </w:r>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1.2. Основными нормативными правовыми актами, использованными при разработке настоящего положения, являются: </w:t>
      </w:r>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1. указание Банка России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2.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Министерства финансов Российской Федерации от 1 декабря 2010 г. № 157н; </w:t>
      </w:r>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3. приказ Министерства финансов Российской Федерации от 15 декабря 2010 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0837F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 </w:t>
      </w:r>
      <w:proofErr w:type="gramStart"/>
      <w:r w:rsidRPr="009E2A52">
        <w:rPr>
          <w:rFonts w:ascii="Times New Roman" w:hAnsi="Times New Roman" w:cs="Times New Roman"/>
          <w:sz w:val="24"/>
          <w:szCs w:val="24"/>
        </w:rPr>
        <w:t>4. письмо Министерства финансов Российской Федерации № 02-03-10/37209, Федерального казначейства № 42-7.4-05/5.2-554 от 10 сентября 2013 г. «О правомерности перечисления денежных средств, выдаваемых под отчет, на банковские счета сотрудников организаций в целях осуществления ими с использованием банковских карт оплаты расходов, связанных с деятельностью организации, а также компенсации сотрудникам документально подтвержденных расходов».</w:t>
      </w:r>
      <w:proofErr w:type="gramEnd"/>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2. Порядок выдачи денежных средств под отчет</w:t>
      </w:r>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2.1. Денежные средства выдаются под отчет на расходы, связанные с приобретением товаров, работ, услуг, и командировочные расходы.</w:t>
      </w:r>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 2.2. Выдача под отчет денежных средств на расходы учреждения, связанные с приобретением товаров, работ, услуг, производится работникам учреждения. </w:t>
      </w:r>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lastRenderedPageBreak/>
        <w:t xml:space="preserve">2.3. 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w:t>
      </w:r>
      <w:r w:rsidR="00B8487A" w:rsidRPr="009E2A52">
        <w:rPr>
          <w:rFonts w:ascii="Times New Roman" w:hAnsi="Times New Roman" w:cs="Times New Roman"/>
          <w:sz w:val="24"/>
          <w:szCs w:val="24"/>
        </w:rPr>
        <w:t>распоряжением</w:t>
      </w:r>
      <w:r w:rsidRPr="009E2A52">
        <w:rPr>
          <w:rFonts w:ascii="Times New Roman" w:hAnsi="Times New Roman" w:cs="Times New Roman"/>
          <w:sz w:val="24"/>
          <w:szCs w:val="24"/>
        </w:rPr>
        <w:t xml:space="preserve"> руководителя. </w:t>
      </w:r>
    </w:p>
    <w:p w:rsidR="00B8487A"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2.4.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w:t>
      </w:r>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2.</w:t>
      </w:r>
      <w:r w:rsidR="00B8487A" w:rsidRPr="009E2A52">
        <w:rPr>
          <w:rFonts w:ascii="Times New Roman" w:hAnsi="Times New Roman" w:cs="Times New Roman"/>
          <w:sz w:val="24"/>
          <w:szCs w:val="24"/>
        </w:rPr>
        <w:t>5</w:t>
      </w:r>
      <w:r w:rsidRPr="009E2A52">
        <w:rPr>
          <w:rFonts w:ascii="Times New Roman" w:hAnsi="Times New Roman" w:cs="Times New Roman"/>
          <w:sz w:val="24"/>
          <w:szCs w:val="24"/>
        </w:rPr>
        <w:t xml:space="preserve">. Выдача денежных средств под отчет производится при условии полного погашения задолженности подотчетного лица по ранее выданному ему авансу. </w:t>
      </w:r>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2.</w:t>
      </w:r>
      <w:r w:rsidR="00B8487A" w:rsidRPr="009E2A52">
        <w:rPr>
          <w:rFonts w:ascii="Times New Roman" w:hAnsi="Times New Roman" w:cs="Times New Roman"/>
          <w:sz w:val="24"/>
          <w:szCs w:val="24"/>
        </w:rPr>
        <w:t>6</w:t>
      </w:r>
      <w:r w:rsidRPr="009E2A52">
        <w:rPr>
          <w:rFonts w:ascii="Times New Roman" w:hAnsi="Times New Roman" w:cs="Times New Roman"/>
          <w:sz w:val="24"/>
          <w:szCs w:val="24"/>
        </w:rPr>
        <w:t>. Выдача денежных средств под отчет производится:</w:t>
      </w:r>
    </w:p>
    <w:p w:rsidR="00F10C24" w:rsidRPr="009E2A52" w:rsidRDefault="00B8487A"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 </w:t>
      </w:r>
      <w:r w:rsidR="00F10C24" w:rsidRPr="009E2A52">
        <w:rPr>
          <w:rFonts w:ascii="Times New Roman" w:hAnsi="Times New Roman" w:cs="Times New Roman"/>
          <w:sz w:val="24"/>
          <w:szCs w:val="24"/>
        </w:rPr>
        <w:t>путем перечисления на банковские счета работников, открытые в рамках «зарплатных» проектов, в части оплаты командировочных расходов и компенсации сотрудникам документально подтвержденных расходов.</w:t>
      </w:r>
    </w:p>
    <w:p w:rsidR="00B8487A"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 2.</w:t>
      </w:r>
      <w:r w:rsidR="00B8487A" w:rsidRPr="009E2A52">
        <w:rPr>
          <w:rFonts w:ascii="Times New Roman" w:hAnsi="Times New Roman" w:cs="Times New Roman"/>
          <w:sz w:val="24"/>
          <w:szCs w:val="24"/>
        </w:rPr>
        <w:t>7</w:t>
      </w:r>
      <w:r w:rsidRPr="009E2A52">
        <w:rPr>
          <w:rFonts w:ascii="Times New Roman" w:hAnsi="Times New Roman" w:cs="Times New Roman"/>
          <w:sz w:val="24"/>
          <w:szCs w:val="24"/>
        </w:rPr>
        <w:t xml:space="preserve">. Предельная сумма выдачи денежных средств под отчет на расходы, связанные с приобретением товаров, работ, услуг  устанавливается в размере </w:t>
      </w:r>
      <w:r w:rsidR="00B8487A" w:rsidRPr="009E2A52">
        <w:rPr>
          <w:rFonts w:ascii="Times New Roman" w:hAnsi="Times New Roman" w:cs="Times New Roman"/>
          <w:sz w:val="24"/>
          <w:szCs w:val="24"/>
        </w:rPr>
        <w:t>10</w:t>
      </w:r>
      <w:r w:rsidRPr="009E2A52">
        <w:rPr>
          <w:rFonts w:ascii="Times New Roman" w:hAnsi="Times New Roman" w:cs="Times New Roman"/>
          <w:sz w:val="24"/>
          <w:szCs w:val="24"/>
        </w:rPr>
        <w:t>0000</w:t>
      </w:r>
      <w:r w:rsidR="00B8487A" w:rsidRPr="009E2A52">
        <w:rPr>
          <w:rFonts w:ascii="Times New Roman" w:hAnsi="Times New Roman" w:cs="Times New Roman"/>
          <w:sz w:val="24"/>
          <w:szCs w:val="24"/>
        </w:rPr>
        <w:t xml:space="preserve"> руб. </w:t>
      </w:r>
      <w:r w:rsidRPr="009E2A52">
        <w:rPr>
          <w:rFonts w:ascii="Times New Roman" w:hAnsi="Times New Roman" w:cs="Times New Roman"/>
          <w:sz w:val="24"/>
          <w:szCs w:val="24"/>
        </w:rPr>
        <w:t>(Сто тысяч) рублей.</w:t>
      </w:r>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 2.</w:t>
      </w:r>
      <w:r w:rsidR="00B8487A" w:rsidRPr="009E2A52">
        <w:rPr>
          <w:rFonts w:ascii="Times New Roman" w:hAnsi="Times New Roman" w:cs="Times New Roman"/>
          <w:sz w:val="24"/>
          <w:szCs w:val="24"/>
        </w:rPr>
        <w:t>8</w:t>
      </w:r>
      <w:r w:rsidRPr="009E2A52">
        <w:rPr>
          <w:rFonts w:ascii="Times New Roman" w:hAnsi="Times New Roman" w:cs="Times New Roman"/>
          <w:sz w:val="24"/>
          <w:szCs w:val="24"/>
        </w:rPr>
        <w:t xml:space="preserve">. Авансы на расходы, связанные со служебными командировками, выдаются путем перечисления на банковские счета работников, открытые в рамках «зарплатных» проектов учреждения в пределах сумм расходов, установленных Положением о служебных командировках (приложение </w:t>
      </w:r>
      <w:r w:rsidR="00B8487A" w:rsidRPr="009E2A52">
        <w:rPr>
          <w:rFonts w:ascii="Times New Roman" w:hAnsi="Times New Roman" w:cs="Times New Roman"/>
          <w:sz w:val="24"/>
          <w:szCs w:val="24"/>
        </w:rPr>
        <w:t>6</w:t>
      </w:r>
      <w:r w:rsidRPr="009E2A52">
        <w:rPr>
          <w:rFonts w:ascii="Times New Roman" w:hAnsi="Times New Roman" w:cs="Times New Roman"/>
          <w:sz w:val="24"/>
          <w:szCs w:val="24"/>
        </w:rPr>
        <w:t xml:space="preserve"> к учетной политике учреждения).</w:t>
      </w:r>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2.11. Максимальный срок выдачи денежных средств под отчет на расходы по приобретению товаров, работ, услуг составляет </w:t>
      </w:r>
      <w:r w:rsidR="00B8487A" w:rsidRPr="009E2A52">
        <w:rPr>
          <w:rFonts w:ascii="Times New Roman" w:hAnsi="Times New Roman" w:cs="Times New Roman"/>
          <w:sz w:val="24"/>
          <w:szCs w:val="24"/>
        </w:rPr>
        <w:t>9</w:t>
      </w:r>
      <w:r w:rsidRPr="009E2A52">
        <w:rPr>
          <w:rFonts w:ascii="Times New Roman" w:hAnsi="Times New Roman" w:cs="Times New Roman"/>
          <w:sz w:val="24"/>
          <w:szCs w:val="24"/>
        </w:rPr>
        <w:t xml:space="preserve">0 календарных дней. </w:t>
      </w:r>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2.12. Передача выданных под отчет денежных средств одним лицом другому запрещается. </w:t>
      </w:r>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2.13. В исключительных случаях, когда работник учреждения по </w:t>
      </w:r>
      <w:r w:rsidR="00B8487A" w:rsidRPr="009E2A52">
        <w:rPr>
          <w:rFonts w:ascii="Times New Roman" w:hAnsi="Times New Roman" w:cs="Times New Roman"/>
          <w:sz w:val="24"/>
          <w:szCs w:val="24"/>
        </w:rPr>
        <w:t xml:space="preserve">распоряжению </w:t>
      </w:r>
      <w:r w:rsidRPr="009E2A52">
        <w:rPr>
          <w:rFonts w:ascii="Times New Roman" w:hAnsi="Times New Roman" w:cs="Times New Roman"/>
          <w:sz w:val="24"/>
          <w:szCs w:val="24"/>
        </w:rPr>
        <w:t xml:space="preserve">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 </w:t>
      </w:r>
    </w:p>
    <w:p w:rsidR="00F10C24" w:rsidRPr="009E2A52" w:rsidRDefault="00B8487A" w:rsidP="00B8487A">
      <w:pPr>
        <w:jc w:val="both"/>
        <w:rPr>
          <w:rFonts w:ascii="Times New Roman" w:hAnsi="Times New Roman" w:cs="Times New Roman"/>
          <w:sz w:val="24"/>
          <w:szCs w:val="24"/>
        </w:rPr>
      </w:pPr>
      <w:r w:rsidRPr="009E2A52">
        <w:rPr>
          <w:rFonts w:ascii="Times New Roman" w:hAnsi="Times New Roman" w:cs="Times New Roman"/>
          <w:sz w:val="24"/>
          <w:szCs w:val="24"/>
        </w:rPr>
        <w:t>3</w:t>
      </w:r>
      <w:r w:rsidR="00F10C24" w:rsidRPr="009E2A52">
        <w:rPr>
          <w:rFonts w:ascii="Times New Roman" w:hAnsi="Times New Roman" w:cs="Times New Roman"/>
          <w:sz w:val="24"/>
          <w:szCs w:val="24"/>
        </w:rPr>
        <w:t xml:space="preserve">. Представление отчетности подотчетными лицами об израсходовании денежных средств </w:t>
      </w:r>
    </w:p>
    <w:p w:rsidR="00397BE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 </w:t>
      </w:r>
      <w:r w:rsidR="00B8487A" w:rsidRPr="009E2A52">
        <w:rPr>
          <w:rFonts w:ascii="Times New Roman" w:hAnsi="Times New Roman" w:cs="Times New Roman"/>
          <w:sz w:val="24"/>
          <w:szCs w:val="24"/>
        </w:rPr>
        <w:t>3</w:t>
      </w:r>
      <w:r w:rsidRPr="009E2A52">
        <w:rPr>
          <w:rFonts w:ascii="Times New Roman" w:hAnsi="Times New Roman" w:cs="Times New Roman"/>
          <w:sz w:val="24"/>
          <w:szCs w:val="24"/>
        </w:rPr>
        <w:t xml:space="preserve">.1. Об израсходовании полученных сумм подотчетное лицо представляет авансовый отчет с приложением документов, подтверждающих произведенные расходы. </w:t>
      </w:r>
    </w:p>
    <w:p w:rsidR="00F10C24" w:rsidRPr="009E2A52" w:rsidRDefault="00397BE4" w:rsidP="00B8487A">
      <w:pPr>
        <w:jc w:val="both"/>
        <w:rPr>
          <w:rFonts w:ascii="Times New Roman" w:hAnsi="Times New Roman" w:cs="Times New Roman"/>
          <w:sz w:val="24"/>
          <w:szCs w:val="24"/>
        </w:rPr>
      </w:pPr>
      <w:r w:rsidRPr="009E2A52">
        <w:rPr>
          <w:rFonts w:ascii="Times New Roman" w:hAnsi="Times New Roman" w:cs="Times New Roman"/>
          <w:sz w:val="24"/>
          <w:szCs w:val="24"/>
        </w:rPr>
        <w:t>3</w:t>
      </w:r>
      <w:r w:rsidR="00F10C24" w:rsidRPr="009E2A52">
        <w:rPr>
          <w:rFonts w:ascii="Times New Roman" w:hAnsi="Times New Roman" w:cs="Times New Roman"/>
          <w:sz w:val="24"/>
          <w:szCs w:val="24"/>
        </w:rPr>
        <w:t>.2. Авансовый отчет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 </w:t>
      </w:r>
      <w:r w:rsidR="00397BE4" w:rsidRPr="009E2A52">
        <w:rPr>
          <w:rFonts w:ascii="Times New Roman" w:hAnsi="Times New Roman" w:cs="Times New Roman"/>
          <w:sz w:val="24"/>
          <w:szCs w:val="24"/>
        </w:rPr>
        <w:t>3</w:t>
      </w:r>
      <w:r w:rsidRPr="009E2A52">
        <w:rPr>
          <w:rFonts w:ascii="Times New Roman" w:hAnsi="Times New Roman" w:cs="Times New Roman"/>
          <w:sz w:val="24"/>
          <w:szCs w:val="24"/>
        </w:rPr>
        <w:t xml:space="preserve">.3. Авансовый отчет по командировочным расходам представляется работником в бухгалтерию учреждения не позднее трех рабочих дней со дня его возвращения из командировки. </w:t>
      </w:r>
    </w:p>
    <w:p w:rsidR="00F10C24" w:rsidRPr="009E2A52" w:rsidRDefault="00397BE4" w:rsidP="00B8487A">
      <w:pPr>
        <w:jc w:val="both"/>
        <w:rPr>
          <w:rFonts w:ascii="Times New Roman" w:hAnsi="Times New Roman" w:cs="Times New Roman"/>
          <w:sz w:val="24"/>
          <w:szCs w:val="24"/>
        </w:rPr>
      </w:pPr>
      <w:r w:rsidRPr="009E2A52">
        <w:rPr>
          <w:rFonts w:ascii="Times New Roman" w:hAnsi="Times New Roman" w:cs="Times New Roman"/>
          <w:sz w:val="24"/>
          <w:szCs w:val="24"/>
        </w:rPr>
        <w:lastRenderedPageBreak/>
        <w:t>3</w:t>
      </w:r>
      <w:r w:rsidR="00F10C24" w:rsidRPr="009E2A52">
        <w:rPr>
          <w:rFonts w:ascii="Times New Roman" w:hAnsi="Times New Roman" w:cs="Times New Roman"/>
          <w:sz w:val="24"/>
          <w:szCs w:val="24"/>
        </w:rPr>
        <w:t xml:space="preserve">.4. Бухгалтерией учреждения проверяются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 </w:t>
      </w:r>
    </w:p>
    <w:p w:rsidR="00F10C24" w:rsidRPr="009E2A52" w:rsidRDefault="00397BE4" w:rsidP="00B8487A">
      <w:pPr>
        <w:jc w:val="both"/>
        <w:rPr>
          <w:rFonts w:ascii="Times New Roman" w:hAnsi="Times New Roman" w:cs="Times New Roman"/>
          <w:sz w:val="24"/>
          <w:szCs w:val="24"/>
        </w:rPr>
      </w:pPr>
      <w:r w:rsidRPr="009E2A52">
        <w:rPr>
          <w:rFonts w:ascii="Times New Roman" w:hAnsi="Times New Roman" w:cs="Times New Roman"/>
          <w:sz w:val="24"/>
          <w:szCs w:val="24"/>
        </w:rPr>
        <w:t>3</w:t>
      </w:r>
      <w:r w:rsidR="00F10C24" w:rsidRPr="009E2A52">
        <w:rPr>
          <w:rFonts w:ascii="Times New Roman" w:hAnsi="Times New Roman" w:cs="Times New Roman"/>
          <w:sz w:val="24"/>
          <w:szCs w:val="24"/>
        </w:rPr>
        <w:t xml:space="preserve">.5. Все прилагаемые к авансовому отчету документы должны быть оформлены в соответствии с требованиями законодательства Российской Федерации, с обязательным заполнением всех граф, реквизитов, наличием печатей, подписей и т.д. Первичные учетные документы, составленные на иных языках, должны иметь построчный перевод на русский язык. </w:t>
      </w:r>
    </w:p>
    <w:p w:rsidR="00F10C24" w:rsidRPr="009E2A52" w:rsidRDefault="00F10C24" w:rsidP="00B8487A">
      <w:pPr>
        <w:jc w:val="both"/>
        <w:rPr>
          <w:rFonts w:ascii="Times New Roman" w:hAnsi="Times New Roman" w:cs="Times New Roman"/>
          <w:sz w:val="24"/>
          <w:szCs w:val="24"/>
        </w:rPr>
      </w:pPr>
      <w:r w:rsidRPr="009E2A52">
        <w:rPr>
          <w:rFonts w:ascii="Times New Roman" w:hAnsi="Times New Roman" w:cs="Times New Roman"/>
          <w:sz w:val="24"/>
          <w:szCs w:val="24"/>
        </w:rPr>
        <w:t xml:space="preserve"> </w:t>
      </w:r>
      <w:r w:rsidR="00397BE4" w:rsidRPr="009E2A52">
        <w:rPr>
          <w:rFonts w:ascii="Times New Roman" w:hAnsi="Times New Roman" w:cs="Times New Roman"/>
          <w:sz w:val="24"/>
          <w:szCs w:val="24"/>
        </w:rPr>
        <w:t>3</w:t>
      </w:r>
      <w:r w:rsidRPr="009E2A52">
        <w:rPr>
          <w:rFonts w:ascii="Times New Roman" w:hAnsi="Times New Roman" w:cs="Times New Roman"/>
          <w:sz w:val="24"/>
          <w:szCs w:val="24"/>
        </w:rPr>
        <w:t xml:space="preserve">.6. Проверенный авансовый отчет утверждается руководителем учреждения. После этого утвержденный авансовый отчет принимается бухгалтерией к учету. </w:t>
      </w:r>
    </w:p>
    <w:p w:rsidR="00F10C24" w:rsidRPr="009E2A52" w:rsidRDefault="00397BE4" w:rsidP="00B8487A">
      <w:pPr>
        <w:jc w:val="both"/>
        <w:rPr>
          <w:rFonts w:ascii="Times New Roman" w:hAnsi="Times New Roman" w:cs="Times New Roman"/>
          <w:sz w:val="24"/>
          <w:szCs w:val="24"/>
        </w:rPr>
      </w:pPr>
      <w:r w:rsidRPr="009E2A52">
        <w:rPr>
          <w:rFonts w:ascii="Times New Roman" w:hAnsi="Times New Roman" w:cs="Times New Roman"/>
          <w:sz w:val="24"/>
          <w:szCs w:val="24"/>
        </w:rPr>
        <w:t>3</w:t>
      </w:r>
      <w:r w:rsidR="00F10C24" w:rsidRPr="009E2A52">
        <w:rPr>
          <w:rFonts w:ascii="Times New Roman" w:hAnsi="Times New Roman" w:cs="Times New Roman"/>
          <w:sz w:val="24"/>
          <w:szCs w:val="24"/>
        </w:rPr>
        <w:t xml:space="preserve">.7. Сумма превышения принятых к учету расходов подотчетного лица над ранее выданным авансом (сумма утвержденного перерасхода) перечисляется на банковский счет подотчетного лица после утверждения руководителем учреждения авансового отчета. </w:t>
      </w:r>
    </w:p>
    <w:p w:rsidR="00F10C24" w:rsidRPr="009E2A52" w:rsidRDefault="00397BE4" w:rsidP="00B8487A">
      <w:pPr>
        <w:jc w:val="both"/>
        <w:rPr>
          <w:rFonts w:ascii="Times New Roman" w:hAnsi="Times New Roman" w:cs="Times New Roman"/>
          <w:sz w:val="24"/>
          <w:szCs w:val="24"/>
        </w:rPr>
      </w:pPr>
      <w:r w:rsidRPr="009E2A52">
        <w:rPr>
          <w:rFonts w:ascii="Times New Roman" w:hAnsi="Times New Roman" w:cs="Times New Roman"/>
          <w:sz w:val="24"/>
          <w:szCs w:val="24"/>
        </w:rPr>
        <w:t>3</w:t>
      </w:r>
      <w:r w:rsidR="00F10C24" w:rsidRPr="009E2A52">
        <w:rPr>
          <w:rFonts w:ascii="Times New Roman" w:hAnsi="Times New Roman" w:cs="Times New Roman"/>
          <w:sz w:val="24"/>
          <w:szCs w:val="24"/>
        </w:rPr>
        <w:t>.</w:t>
      </w:r>
      <w:r w:rsidRPr="009E2A52">
        <w:rPr>
          <w:rFonts w:ascii="Times New Roman" w:hAnsi="Times New Roman" w:cs="Times New Roman"/>
          <w:sz w:val="24"/>
          <w:szCs w:val="24"/>
        </w:rPr>
        <w:t>8</w:t>
      </w:r>
      <w:r w:rsidR="00F10C24" w:rsidRPr="009E2A52">
        <w:rPr>
          <w:rFonts w:ascii="Times New Roman" w:hAnsi="Times New Roman" w:cs="Times New Roman"/>
          <w:sz w:val="24"/>
          <w:szCs w:val="24"/>
        </w:rPr>
        <w:t>. В случае если в установленный срок работником не представлен авансовый отчет в бухгалтерию учреждения или не внесен остаток неиспользованного аванса на лицевой счёт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статьями 137 и 138 Трудового кодекса Российской Федерации.</w:t>
      </w:r>
    </w:p>
    <w:p w:rsidR="00F10C24" w:rsidRPr="009E2A52" w:rsidRDefault="00397BE4" w:rsidP="00B8487A">
      <w:pPr>
        <w:jc w:val="both"/>
        <w:rPr>
          <w:rFonts w:ascii="Times New Roman" w:hAnsi="Times New Roman" w:cs="Times New Roman"/>
          <w:sz w:val="24"/>
          <w:szCs w:val="24"/>
        </w:rPr>
      </w:pPr>
      <w:r w:rsidRPr="009E2A52">
        <w:rPr>
          <w:rFonts w:ascii="Times New Roman" w:hAnsi="Times New Roman" w:cs="Times New Roman"/>
          <w:sz w:val="24"/>
          <w:szCs w:val="24"/>
        </w:rPr>
        <w:t>3</w:t>
      </w:r>
      <w:r w:rsidR="00F10C24" w:rsidRPr="009E2A52">
        <w:rPr>
          <w:rFonts w:ascii="Times New Roman" w:hAnsi="Times New Roman" w:cs="Times New Roman"/>
          <w:sz w:val="24"/>
          <w:szCs w:val="24"/>
        </w:rPr>
        <w:t>.</w:t>
      </w:r>
      <w:r w:rsidRPr="009E2A52">
        <w:rPr>
          <w:rFonts w:ascii="Times New Roman" w:hAnsi="Times New Roman" w:cs="Times New Roman"/>
          <w:sz w:val="24"/>
          <w:szCs w:val="24"/>
        </w:rPr>
        <w:t>9</w:t>
      </w:r>
      <w:r w:rsidR="00F10C24" w:rsidRPr="009E2A52">
        <w:rPr>
          <w:rFonts w:ascii="Times New Roman" w:hAnsi="Times New Roman" w:cs="Times New Roman"/>
          <w:sz w:val="24"/>
          <w:szCs w:val="24"/>
        </w:rPr>
        <w:t>. В случае увольнения работника, имеющего задолженность по подотчетным суммам, бухгалтерия обязана принять все необходимые меры для взыскания указанных сумм.</w:t>
      </w:r>
    </w:p>
    <w:p w:rsidR="00F10C24" w:rsidRPr="009E2A52" w:rsidRDefault="00F10C24" w:rsidP="00B8487A">
      <w:pPr>
        <w:jc w:val="both"/>
        <w:rPr>
          <w:rFonts w:ascii="Times New Roman" w:hAnsi="Times New Roman" w:cs="Times New Roman"/>
          <w:sz w:val="24"/>
          <w:szCs w:val="24"/>
        </w:rPr>
      </w:pPr>
    </w:p>
    <w:sectPr w:rsidR="00F10C24" w:rsidRPr="009E2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24"/>
    <w:rsid w:val="000837F4"/>
    <w:rsid w:val="00302F09"/>
    <w:rsid w:val="00397BE4"/>
    <w:rsid w:val="009E2A52"/>
    <w:rsid w:val="00B8487A"/>
    <w:rsid w:val="00F10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7BE4"/>
    <w:pPr>
      <w:spacing w:after="0" w:line="240" w:lineRule="auto"/>
    </w:pPr>
    <w:rPr>
      <w:rFonts w:ascii="Calibri" w:eastAsia="Times New Roman" w:hAnsi="Calibri" w:cs="Times New Roman"/>
    </w:rPr>
  </w:style>
  <w:style w:type="paragraph" w:styleId="a4">
    <w:name w:val="Normal (Web)"/>
    <w:basedOn w:val="a"/>
    <w:uiPriority w:val="99"/>
    <w:unhideWhenUsed/>
    <w:rsid w:val="00397BE4"/>
    <w:pPr>
      <w:spacing w:before="100" w:beforeAutospacing="1" w:after="100" w:afterAutospacing="1" w:line="240" w:lineRule="auto"/>
    </w:pPr>
    <w:rPr>
      <w:rFonts w:ascii="Arial" w:eastAsia="Times New Roman" w:hAnsi="Arial" w:cs="Arial"/>
      <w:sz w:val="20"/>
      <w:szCs w:val="20"/>
      <w:lang w:eastAsia="ru-RU"/>
    </w:rPr>
  </w:style>
  <w:style w:type="character" w:customStyle="1" w:styleId="fill">
    <w:name w:val="fill"/>
    <w:rsid w:val="00397BE4"/>
    <w:rPr>
      <w:b/>
      <w:bCs/>
      <w:i/>
      <w:iCs/>
      <w:color w:val="FF0000"/>
    </w:rPr>
  </w:style>
  <w:style w:type="paragraph" w:styleId="a5">
    <w:name w:val="Balloon Text"/>
    <w:basedOn w:val="a"/>
    <w:link w:val="a6"/>
    <w:uiPriority w:val="99"/>
    <w:semiHidden/>
    <w:unhideWhenUsed/>
    <w:rsid w:val="009E2A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2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7BE4"/>
    <w:pPr>
      <w:spacing w:after="0" w:line="240" w:lineRule="auto"/>
    </w:pPr>
    <w:rPr>
      <w:rFonts w:ascii="Calibri" w:eastAsia="Times New Roman" w:hAnsi="Calibri" w:cs="Times New Roman"/>
    </w:rPr>
  </w:style>
  <w:style w:type="paragraph" w:styleId="a4">
    <w:name w:val="Normal (Web)"/>
    <w:basedOn w:val="a"/>
    <w:uiPriority w:val="99"/>
    <w:unhideWhenUsed/>
    <w:rsid w:val="00397BE4"/>
    <w:pPr>
      <w:spacing w:before="100" w:beforeAutospacing="1" w:after="100" w:afterAutospacing="1" w:line="240" w:lineRule="auto"/>
    </w:pPr>
    <w:rPr>
      <w:rFonts w:ascii="Arial" w:eastAsia="Times New Roman" w:hAnsi="Arial" w:cs="Arial"/>
      <w:sz w:val="20"/>
      <w:szCs w:val="20"/>
      <w:lang w:eastAsia="ru-RU"/>
    </w:rPr>
  </w:style>
  <w:style w:type="character" w:customStyle="1" w:styleId="fill">
    <w:name w:val="fill"/>
    <w:rsid w:val="00397BE4"/>
    <w:rPr>
      <w:b/>
      <w:bCs/>
      <w:i/>
      <w:iCs/>
      <w:color w:val="FF0000"/>
    </w:rPr>
  </w:style>
  <w:style w:type="paragraph" w:styleId="a5">
    <w:name w:val="Balloon Text"/>
    <w:basedOn w:val="a"/>
    <w:link w:val="a6"/>
    <w:uiPriority w:val="99"/>
    <w:semiHidden/>
    <w:unhideWhenUsed/>
    <w:rsid w:val="009E2A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2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RUK</cp:lastModifiedBy>
  <cp:revision>2</cp:revision>
  <cp:lastPrinted>2020-03-17T11:32:00Z</cp:lastPrinted>
  <dcterms:created xsi:type="dcterms:W3CDTF">2021-02-25T07:10:00Z</dcterms:created>
  <dcterms:modified xsi:type="dcterms:W3CDTF">2021-02-25T07:10:00Z</dcterms:modified>
</cp:coreProperties>
</file>